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07E7" w14:textId="4305EA3A" w:rsidR="0055691B" w:rsidRPr="00853750" w:rsidRDefault="0055691B" w:rsidP="002D00FF">
      <w:pPr>
        <w:pStyle w:val="NormalHanging12a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853750">
        <w:rPr>
          <w:rFonts w:asciiTheme="minorHAnsi" w:hAnsiTheme="minorHAnsi" w:cstheme="minorHAnsi"/>
          <w:b/>
          <w:bCs/>
          <w:sz w:val="22"/>
          <w:szCs w:val="22"/>
          <w:u w:val="single"/>
        </w:rPr>
        <w:t>Compromise Amendement C</w:t>
      </w:r>
    </w:p>
    <w:p w14:paraId="6224F29C" w14:textId="48E3C450" w:rsidR="0055691B" w:rsidRPr="00853750" w:rsidRDefault="0055691B" w:rsidP="002D00FF">
      <w:pPr>
        <w:pStyle w:val="NormalHanging12a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53750">
        <w:rPr>
          <w:rFonts w:asciiTheme="minorHAnsi" w:hAnsiTheme="minorHAnsi" w:cstheme="minorHAnsi"/>
          <w:b/>
          <w:sz w:val="22"/>
          <w:szCs w:val="22"/>
          <w:lang w:val="en-GB"/>
        </w:rPr>
        <w:t>Transparency and consumer protection</w:t>
      </w:r>
    </w:p>
    <w:p w14:paraId="3E7C3898" w14:textId="77777777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3750">
        <w:rPr>
          <w:rFonts w:asciiTheme="minorHAnsi" w:hAnsiTheme="minorHAnsi" w:cstheme="minorHAnsi"/>
          <w:sz w:val="22"/>
          <w:szCs w:val="22"/>
          <w:lang w:val="en-GB"/>
        </w:rPr>
        <w:t>11.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ab/>
        <w:t>Notes that the COVID-19 pandemic</w:t>
      </w:r>
      <w:r w:rsidRPr="0085375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has shown </w:t>
      </w:r>
      <w:r w:rsidRPr="00853750">
        <w:rPr>
          <w:rFonts w:asciiTheme="minorHAnsi" w:hAnsiTheme="minorHAnsi" w:cstheme="minorHAnsi"/>
          <w:b/>
          <w:i/>
          <w:color w:val="222222"/>
          <w:sz w:val="22"/>
          <w:szCs w:val="22"/>
          <w:lang w:val="en-GB"/>
        </w:rPr>
        <w:t>the</w:t>
      </w:r>
      <w:r w:rsidRPr="0085375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importance and resilience of the e-commerce sector and its potential as a driver for relaunching the European economy but at the same time </w:t>
      </w:r>
      <w:r w:rsidRPr="0085375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how vulnerable EU consumers are to 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misleading trading practices by dishonest traders selling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fake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counterfeit,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or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illegal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or unsafe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products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and providing services 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online that are not compliant with Union safety rules or who impose unjustified and abusive price increases or other unfair conditions on consumers;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stresses the urgent need to step up enforcement of EU  rules and  to enhance consumer protection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3E93E49A" w14:textId="77777777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853750">
        <w:rPr>
          <w:rFonts w:asciiTheme="minorHAnsi" w:hAnsiTheme="minorHAnsi" w:cstheme="minorHAnsi"/>
          <w:sz w:val="22"/>
          <w:szCs w:val="22"/>
          <w:lang w:val="en-GB"/>
        </w:rPr>
        <w:t>12.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ab/>
        <w:t xml:space="preserve">Stresses that this problem is aggravated by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the fact that often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difficulties in establishing 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the identity of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these the companies cannot be established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fraudulent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business users thus making it difficult for consumers to seek compensation for the damages and losses experienced; </w:t>
      </w:r>
    </w:p>
    <w:p w14:paraId="4AB5C96D" w14:textId="77777777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3750">
        <w:rPr>
          <w:rFonts w:asciiTheme="minorHAnsi" w:hAnsiTheme="minorHAnsi" w:cstheme="minorHAnsi"/>
          <w:sz w:val="22"/>
          <w:szCs w:val="22"/>
          <w:lang w:val="en-GB"/>
        </w:rPr>
        <w:t>13.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ab/>
        <w:t xml:space="preserve">Considers that the current transparency and information requirements set out in the E-Commerce Directive on information society services providers and their business customers, and the minimum information requirements on commercial communications, should be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substantially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strengthened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in parallel with measures to increase compliance with existing rules and without harming the competitiveness of SMEs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</w:p>
    <w:p w14:paraId="19C9B3AD" w14:textId="77777777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3750">
        <w:rPr>
          <w:rFonts w:asciiTheme="minorHAnsi" w:hAnsiTheme="minorHAnsi" w:cstheme="minorHAnsi"/>
          <w:sz w:val="22"/>
          <w:szCs w:val="22"/>
          <w:lang w:val="en-GB"/>
        </w:rPr>
        <w:t>14.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ab/>
        <w:t xml:space="preserve">Calls on the Commission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to reinforce the information requirements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set out in Article 5 of the E-Commerce Directive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and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require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service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hosting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providers to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verify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 compare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the information and identity of the business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partners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users 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with whom they have a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 xml:space="preserve">contractual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direct 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commercial relationship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with the identification data by the relevant existing and </w:t>
      </w:r>
      <w:r w:rsidRPr="0085375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 xml:space="preserve">available EU databases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in compliance with data protocol legislation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hosting provides should ask their business user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 xml:space="preserve"> and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to ensure that the information they provide is accurate,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complete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up-to-date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updated and should </w:t>
      </w:r>
      <w:r w:rsidRPr="0085375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be </w:t>
      </w:r>
      <w:r w:rsidRPr="00853750">
        <w:rPr>
          <w:rFonts w:asciiTheme="minorHAnsi" w:eastAsiaTheme="minorHAnsi" w:hAnsiTheme="minorHAnsi" w:cstheme="minorHAnsi"/>
          <w:b/>
          <w:i/>
          <w:sz w:val="22"/>
          <w:szCs w:val="22"/>
          <w:lang w:val="en-GB" w:eastAsia="en-US"/>
        </w:rPr>
        <w:t>entitled and obliged to refuse or cease to provide their services if the information about the identity of their business user is false or misleading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business users should be the ones in charge of notifying the service provider about any change in their business activity (for example, cessation of business activity);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167FA2B" w14:textId="69FEA3B9" w:rsidR="00E72046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3750">
        <w:rPr>
          <w:rFonts w:asciiTheme="minorHAnsi" w:hAnsiTheme="minorHAnsi" w:cstheme="minorHAnsi"/>
          <w:sz w:val="22"/>
          <w:szCs w:val="22"/>
          <w:lang w:val="en-GB"/>
        </w:rPr>
        <w:t>15.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ab/>
        <w:t xml:space="preserve">Calls on the Commission to introduce enforceable obligations on </w:t>
      </w:r>
      <w:r w:rsidRPr="00853750">
        <w:rPr>
          <w:rFonts w:asciiTheme="minorHAnsi" w:hAnsiTheme="minorHAnsi" w:cstheme="minorHAnsi"/>
          <w:strike/>
          <w:sz w:val="22"/>
          <w:szCs w:val="22"/>
          <w:lang w:val="en-GB"/>
        </w:rPr>
        <w:t>internet service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information society service 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providers aimed at increasing transparency, information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and accountability; calls on the Commission to ensure that enforcement measures</w:t>
      </w:r>
      <w:r w:rsidRPr="008537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are targeted in a way that takes into account the different services and does not force the breach of privacy and legal process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; considers that these obligations should be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proportionate and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enforced by appropriate, effective, </w:t>
      </w:r>
      <w:r w:rsidRPr="00853750">
        <w:rPr>
          <w:rFonts w:asciiTheme="minorHAnsi" w:hAnsiTheme="minorHAnsi" w:cstheme="minorHAnsi"/>
          <w:b/>
          <w:i/>
          <w:sz w:val="22"/>
          <w:szCs w:val="22"/>
          <w:lang w:val="en-GB"/>
        </w:rPr>
        <w:t>proportionate</w:t>
      </w:r>
      <w:r w:rsidRPr="00853750">
        <w:rPr>
          <w:rFonts w:asciiTheme="minorHAnsi" w:hAnsiTheme="minorHAnsi" w:cstheme="minorHAnsi"/>
          <w:sz w:val="22"/>
          <w:szCs w:val="22"/>
          <w:lang w:val="en-GB"/>
        </w:rPr>
        <w:t xml:space="preserve"> and dissuasive penalties;</w:t>
      </w:r>
    </w:p>
    <w:p w14:paraId="68DBF308" w14:textId="14094B92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3A4D949" w14:textId="263096AB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110ED19" w14:textId="71649CCA" w:rsidR="0055691B" w:rsidRPr="00853750" w:rsidRDefault="0055691B" w:rsidP="00853750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55691B" w:rsidRPr="0085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9C9"/>
    <w:multiLevelType w:val="hybridMultilevel"/>
    <w:tmpl w:val="C58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F7E"/>
    <w:multiLevelType w:val="hybridMultilevel"/>
    <w:tmpl w:val="6A6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5897"/>
    <w:multiLevelType w:val="hybridMultilevel"/>
    <w:tmpl w:val="DED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1B"/>
    <w:rsid w:val="00093CEB"/>
    <w:rsid w:val="0028794F"/>
    <w:rsid w:val="002D00FF"/>
    <w:rsid w:val="00436E6D"/>
    <w:rsid w:val="0055691B"/>
    <w:rsid w:val="00821F09"/>
    <w:rsid w:val="00853750"/>
    <w:rsid w:val="00A14D01"/>
    <w:rsid w:val="00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CE66"/>
  <w15:chartTrackingRefBased/>
  <w15:docId w15:val="{0145A5A8-8749-4D7A-89FE-E3C528F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anging12a">
    <w:name w:val="NormalHanging12a"/>
    <w:basedOn w:val="Normal"/>
    <w:link w:val="NormalHanging12aChar"/>
    <w:qFormat/>
    <w:rsid w:val="0055691B"/>
    <w:pPr>
      <w:widowControl w:val="0"/>
      <w:spacing w:after="240"/>
      <w:ind w:left="567" w:hanging="567"/>
      <w:jc w:val="left"/>
    </w:pPr>
    <w:rPr>
      <w:rFonts w:eastAsia="Times New Roman"/>
      <w:szCs w:val="20"/>
      <w:lang w:val="fr-FR" w:eastAsia="en-GB"/>
    </w:rPr>
  </w:style>
  <w:style w:type="character" w:customStyle="1" w:styleId="NormalHanging12aChar">
    <w:name w:val="NormalHanging12a Char"/>
    <w:basedOn w:val="DefaultParagraphFont"/>
    <w:link w:val="NormalHanging12a"/>
    <w:qFormat/>
    <w:locked/>
    <w:rsid w:val="0055691B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85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2370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Mercuriadi, Christina</dc:creator>
  <cp:keywords/>
  <dc:description/>
  <cp:lastModifiedBy>Ovidiu Petrescu</cp:lastModifiedBy>
  <cp:revision>2</cp:revision>
  <dcterms:created xsi:type="dcterms:W3CDTF">2020-11-05T15:11:00Z</dcterms:created>
  <dcterms:modified xsi:type="dcterms:W3CDTF">2020-11-05T15:11:00Z</dcterms:modified>
</cp:coreProperties>
</file>